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in each case as a material Default of the Contract for the purposes of Clause 11.4.1(d)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11.4.1(d)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11.4.1(d)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36 of the Core Terms of the Framework Contract as if that clause applied to this Letter of Intent to Guarantee.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3.2</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w:t>
    </w:r>
    <w:r w:rsidDel="00000000" w:rsidR="00000000" w:rsidRPr="00000000">
      <w:rPr>
        <w:rFonts w:ascii="Arial" w:cs="Arial" w:eastAsia="Arial" w:hAnsi="Arial"/>
        <w:sz w:val="20"/>
        <w:szCs w:val="20"/>
        <w:rtl w:val="0"/>
      </w:rPr>
      <w:t xml:space="preserve">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T8PDy74QIw6lENHHWR+zcnpvEA==">AMUW2mV4iC89gJP97ighXaw9uKVHfg6wa/qkrn6d+jnGFd1NM5eXsxpRqrIBJT+2Bla6amqkGhpsA0/g945Ofb7K7S4x5U42ePrLZLCia2FU7AhY3Z4BOQaRq6H+cRwEFihr5H2+ULmf/pndG/Meu2ZckkTt4jbpnmBoo0W0Xquq44Czt7AV1dweEoy1yzB220FWVbaeK183K+fYfrisTTc41kfbFx4eqlptycHltAo3rRhpNOQHCRh9sNX6o6tPAH3VzBgPF8tgN/zI7VRS5eg1LfXSJkH2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2021-01-21T09:42:00Z</dcterms:created>
  <dc:creator>David Tinkler</dc:creator>
</cp:coreProperties>
</file>